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57" w:rsidRPr="002F6C57" w:rsidRDefault="002F6C57" w:rsidP="002F6C57">
      <w:pPr>
        <w:shd w:val="clear" w:color="auto" w:fill="FFFFFF"/>
        <w:spacing w:before="100" w:beforeAutospacing="1" w:after="100" w:afterAutospacing="1" w:line="240" w:lineRule="auto"/>
        <w:jc w:val="center"/>
        <w:rPr>
          <w:rFonts w:ascii="Calibri" w:hAnsi="Calibri" w:cs="Arial"/>
          <w:b/>
          <w:u w:val="single"/>
        </w:rPr>
      </w:pPr>
      <w:r w:rsidRPr="002F6C57">
        <w:rPr>
          <w:rFonts w:ascii="Calibri" w:hAnsi="Calibri" w:cs="Arial"/>
          <w:b/>
          <w:u w:val="single"/>
        </w:rPr>
        <w:t xml:space="preserve">Impact of Time of Day on measures of Achilles tendon stiffness using shear wave </w:t>
      </w:r>
      <w:proofErr w:type="spellStart"/>
      <w:r w:rsidRPr="002F6C57">
        <w:rPr>
          <w:rFonts w:ascii="Calibri" w:hAnsi="Calibri" w:cs="Arial"/>
          <w:b/>
          <w:u w:val="single"/>
        </w:rPr>
        <w:t>elastography</w:t>
      </w:r>
      <w:proofErr w:type="spellEnd"/>
    </w:p>
    <w:p w:rsidR="002F6C57" w:rsidRDefault="002F6C57" w:rsidP="002F6C57">
      <w:pPr>
        <w:shd w:val="clear" w:color="auto" w:fill="FFFFFF"/>
        <w:spacing w:before="100" w:beforeAutospacing="1" w:after="100" w:afterAutospacing="1" w:line="240" w:lineRule="auto"/>
        <w:rPr>
          <w:rFonts w:ascii="Calibri" w:hAnsi="Calibri" w:cs="Arial"/>
        </w:rPr>
      </w:pPr>
      <w:bookmarkStart w:id="0" w:name="_GoBack"/>
      <w:bookmarkEnd w:id="0"/>
      <w:r>
        <w:rPr>
          <w:rFonts w:ascii="Calibri" w:hAnsi="Calibri" w:cs="Arial"/>
        </w:rPr>
        <w:t>Background:  There is a noted lack of systematic reports with regards to the mechanical properties of tendon structures, and whether stiffness alters throughout the course of a normal day.  Morning stiffness is a commonly reported symptom in patients with Achilles tendinopathy. This is the first study to directly assess whether stiffness of the human in vivo Achilles tendon and wider gastrocnemius-soleus complex</w:t>
      </w:r>
      <w:r w:rsidRPr="00182092">
        <w:rPr>
          <w:rFonts w:ascii="Calibri" w:hAnsi="Calibri" w:cs="Arial"/>
        </w:rPr>
        <w:t xml:space="preserve"> </w:t>
      </w:r>
      <w:r>
        <w:rPr>
          <w:rFonts w:ascii="Calibri" w:hAnsi="Calibri" w:cs="Arial"/>
        </w:rPr>
        <w:t xml:space="preserve">alters throughout a day, as measured using shear wave </w:t>
      </w:r>
      <w:proofErr w:type="spellStart"/>
      <w:r>
        <w:rPr>
          <w:rFonts w:ascii="Calibri" w:hAnsi="Calibri" w:cs="Arial"/>
        </w:rPr>
        <w:t>elastography</w:t>
      </w:r>
      <w:proofErr w:type="spellEnd"/>
      <w:r>
        <w:rPr>
          <w:rFonts w:ascii="Calibri" w:hAnsi="Calibri" w:cs="Arial"/>
        </w:rPr>
        <w:t xml:space="preserve"> (SWE).</w:t>
      </w:r>
    </w:p>
    <w:p w:rsidR="002F6C57" w:rsidRDefault="002F6C57" w:rsidP="002F6C57">
      <w:pPr>
        <w:shd w:val="clear" w:color="auto" w:fill="FFFFFF"/>
        <w:spacing w:before="100" w:beforeAutospacing="1" w:after="100" w:afterAutospacing="1" w:line="240" w:lineRule="auto"/>
        <w:rPr>
          <w:rFonts w:cs="Times New Roman"/>
        </w:rPr>
      </w:pPr>
      <w:r>
        <w:rPr>
          <w:rFonts w:ascii="Calibri" w:hAnsi="Calibri" w:cs="Arial"/>
        </w:rPr>
        <w:t xml:space="preserve">Methods:  </w:t>
      </w:r>
      <w:r>
        <w:rPr>
          <w:rFonts w:ascii="Calibri" w:hAnsi="Calibri"/>
          <w:bCs/>
          <w:color w:val="0A0905"/>
        </w:rPr>
        <w:t xml:space="preserve">Fifteen healthy men and women (Mean ± SD) 27.7 ± 4.1 years, height 176.1 ± 7.7cm and weight 71.3 ± 7.1 kg were measured at 08:00, 12:30 &amp; 17:00.  </w:t>
      </w:r>
      <w:r>
        <w:rPr>
          <w:rFonts w:cs="Times New Roman"/>
        </w:rPr>
        <w:t xml:space="preserve">Shear wave </w:t>
      </w:r>
      <w:proofErr w:type="spellStart"/>
      <w:r>
        <w:rPr>
          <w:rFonts w:cs="Times New Roman"/>
        </w:rPr>
        <w:t>e</w:t>
      </w:r>
      <w:r>
        <w:rPr>
          <w:rFonts w:ascii="Calibri" w:hAnsi="Calibri"/>
          <w:bCs/>
          <w:color w:val="0A0905"/>
        </w:rPr>
        <w:t>lastograms</w:t>
      </w:r>
      <w:proofErr w:type="spellEnd"/>
      <w:r>
        <w:rPr>
          <w:rFonts w:ascii="Calibri" w:hAnsi="Calibri"/>
          <w:bCs/>
          <w:color w:val="0A0905"/>
        </w:rPr>
        <w:t xml:space="preserve"> taken at varying points in the gastrocnemius-soleus complex.  To assess transducer orientation, 4 different measures were taken of medial and lateral gastrocnemius muscles on dominant side.  All m</w:t>
      </w:r>
      <w:r w:rsidRPr="001D6FDC">
        <w:rPr>
          <w:rFonts w:cs="Times New Roman"/>
        </w:rPr>
        <w:t>easures were taken with a Siemens ACUSON S</w:t>
      </w:r>
      <w:r>
        <w:rPr>
          <w:rFonts w:cs="Times New Roman"/>
        </w:rPr>
        <w:t>3</w:t>
      </w:r>
      <w:r w:rsidRPr="001D6FDC">
        <w:rPr>
          <w:rFonts w:cs="Times New Roman"/>
        </w:rPr>
        <w:t>000™ HELX EVOLUTION Ultrasound System (Siemens Medical Solutions, USA)</w:t>
      </w:r>
      <w:r>
        <w:rPr>
          <w:rFonts w:cs="Times New Roman"/>
        </w:rPr>
        <w:t xml:space="preserve">.  </w:t>
      </w:r>
    </w:p>
    <w:p w:rsidR="002F6C57" w:rsidRDefault="002F6C57" w:rsidP="002F6C57">
      <w:pPr>
        <w:spacing w:before="10" w:after="10"/>
        <w:jc w:val="both"/>
        <w:rPr>
          <w:rFonts w:ascii="Calibri" w:hAnsi="Calibri"/>
          <w:bCs/>
          <w:color w:val="0A0905"/>
        </w:rPr>
      </w:pPr>
      <w:r>
        <w:rPr>
          <w:rFonts w:ascii="Calibri" w:hAnsi="Calibri" w:cs="Arial"/>
        </w:rPr>
        <w:t>Results:  N</w:t>
      </w:r>
      <w:r>
        <w:rPr>
          <w:rFonts w:ascii="Calibri" w:hAnsi="Calibri"/>
          <w:bCs/>
          <w:color w:val="0A0905"/>
        </w:rPr>
        <w:t xml:space="preserve">o significant differences (p&gt;0.05) over the three measured time points in the shear wave velocity of participants dominant </w:t>
      </w:r>
      <w:proofErr w:type="spellStart"/>
      <w:r>
        <w:rPr>
          <w:rFonts w:ascii="Calibri" w:hAnsi="Calibri"/>
          <w:bCs/>
          <w:color w:val="0A0905"/>
        </w:rPr>
        <w:t>musculo-tendinous</w:t>
      </w:r>
      <w:proofErr w:type="spellEnd"/>
      <w:r>
        <w:rPr>
          <w:rFonts w:ascii="Calibri" w:hAnsi="Calibri"/>
          <w:bCs/>
          <w:color w:val="0A0905"/>
        </w:rPr>
        <w:t xml:space="preserve"> junction (p=0.114), mid soleus muscle (p=0.223), (p=0.648) or lateral gastrocnemius muscle (p=0.159) or non-dominant Achilles tendon (p=0.143).  Possible trends noted for alterations in shear wave velocity of dominant Achilles tendon &amp; junction of soleus and gastrocnemius muscles (p = 0.094, </w:t>
      </w:r>
      <w:r w:rsidRPr="00697762">
        <w:rPr>
          <w:rFonts w:ascii="Calibri" w:hAnsi="Calibri"/>
          <w:bCs/>
          <w:color w:val="0A0905"/>
          <w:position w:val="-14"/>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0.05pt" o:ole="">
            <v:imagedata r:id="rId4" o:title=""/>
          </v:shape>
          <o:OLEObject Type="Embed" ProgID="Equation.3" ShapeID="_x0000_i1025" DrawAspect="Content" ObjectID="_1500469540" r:id="rId5"/>
        </w:object>
      </w:r>
      <w:r>
        <w:rPr>
          <w:rFonts w:ascii="Calibri" w:hAnsi="Calibri"/>
          <w:bCs/>
          <w:color w:val="0A0905"/>
        </w:rPr>
        <w:t xml:space="preserve">= 0.16 &amp; p=0.050, </w:t>
      </w:r>
      <w:r w:rsidRPr="00697762">
        <w:rPr>
          <w:rFonts w:ascii="Calibri" w:hAnsi="Calibri"/>
          <w:bCs/>
          <w:color w:val="0A0905"/>
          <w:position w:val="-14"/>
        </w:rPr>
        <w:object w:dxaOrig="300" w:dyaOrig="400">
          <v:shape id="_x0000_i1026" type="#_x0000_t75" style="width:15.05pt;height:20.05pt" o:ole="">
            <v:imagedata r:id="rId4" o:title=""/>
          </v:shape>
          <o:OLEObject Type="Embed" ProgID="Equation.3" ShapeID="_x0000_i1026" DrawAspect="Content" ObjectID="_1500469541" r:id="rId6"/>
        </w:object>
      </w:r>
      <w:r>
        <w:rPr>
          <w:rFonts w:ascii="Calibri" w:hAnsi="Calibri"/>
          <w:bCs/>
          <w:color w:val="0A0905"/>
        </w:rPr>
        <w:t xml:space="preserve">= 0.19 respectively).  Results obtained from four different transducer orientations were significantly different from each other for medial (p = &lt; 0.001, </w:t>
      </w:r>
      <w:r w:rsidRPr="00697762">
        <w:rPr>
          <w:rFonts w:ascii="Calibri" w:hAnsi="Calibri"/>
          <w:bCs/>
          <w:color w:val="0A0905"/>
          <w:position w:val="-14"/>
        </w:rPr>
        <w:object w:dxaOrig="300" w:dyaOrig="400">
          <v:shape id="_x0000_i1027" type="#_x0000_t75" style="width:15.05pt;height:20.05pt" o:ole="">
            <v:imagedata r:id="rId4" o:title=""/>
          </v:shape>
          <o:OLEObject Type="Embed" ProgID="Equation.3" ShapeID="_x0000_i1027" DrawAspect="Content" ObjectID="_1500469542" r:id="rId7"/>
        </w:object>
      </w:r>
      <w:r>
        <w:rPr>
          <w:rFonts w:ascii="Calibri" w:hAnsi="Calibri"/>
          <w:bCs/>
          <w:color w:val="0A0905"/>
        </w:rPr>
        <w:t xml:space="preserve">= 0.56), and lateral gastrocnemius muscles (p = 0.001, </w:t>
      </w:r>
      <w:r w:rsidRPr="00697762">
        <w:rPr>
          <w:rFonts w:ascii="Calibri" w:hAnsi="Calibri"/>
          <w:bCs/>
          <w:color w:val="0A0905"/>
          <w:position w:val="-14"/>
        </w:rPr>
        <w:object w:dxaOrig="300" w:dyaOrig="400">
          <v:shape id="_x0000_i1028" type="#_x0000_t75" style="width:15.05pt;height:20.05pt" o:ole="">
            <v:imagedata r:id="rId4" o:title=""/>
          </v:shape>
          <o:OLEObject Type="Embed" ProgID="Equation.3" ShapeID="_x0000_i1028" DrawAspect="Content" ObjectID="_1500469543" r:id="rId8"/>
        </w:object>
      </w:r>
      <w:r>
        <w:rPr>
          <w:rFonts w:ascii="Calibri" w:hAnsi="Calibri"/>
          <w:bCs/>
          <w:color w:val="0A0905"/>
        </w:rPr>
        <w:t xml:space="preserve">= 0.53).  </w:t>
      </w:r>
    </w:p>
    <w:p w:rsidR="002F6C57" w:rsidRDefault="002F6C57" w:rsidP="002F6C57">
      <w:pPr>
        <w:spacing w:before="10" w:after="10"/>
        <w:jc w:val="both"/>
        <w:rPr>
          <w:rFonts w:ascii="Calibri" w:hAnsi="Calibri"/>
          <w:bCs/>
          <w:color w:val="0A0905"/>
        </w:rPr>
      </w:pPr>
    </w:p>
    <w:p w:rsidR="002F6C57" w:rsidRDefault="002F6C57" w:rsidP="002F6C57">
      <w:pPr>
        <w:spacing w:before="10" w:after="10"/>
        <w:jc w:val="both"/>
        <w:rPr>
          <w:rFonts w:ascii="Calibri" w:hAnsi="Calibri" w:cs="Arial"/>
        </w:rPr>
      </w:pPr>
      <w:r>
        <w:rPr>
          <w:rFonts w:ascii="Calibri" w:hAnsi="Calibri" w:cs="Arial"/>
        </w:rPr>
        <w:t>Conclusions:  The results demonstrate that time of day does not significantly alter the stiffness of the Achilles tendon and wider gastrocnemius soleus complex in normal subjects.  This still needs to be evaluated in pathological tendons. Significant alterations were noted with different probe orientations, therefore orientation should be standardised when assessing results from pennate muscles.</w:t>
      </w:r>
    </w:p>
    <w:p w:rsidR="00E7289C" w:rsidRDefault="002F6C57"/>
    <w:sectPr w:rsidR="00E72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57"/>
    <w:rsid w:val="002F6C57"/>
    <w:rsid w:val="004C4789"/>
    <w:rsid w:val="00D4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3BF61-EA04-4E6D-B8A2-AC89EF3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Payne</dc:creator>
  <cp:keywords/>
  <dc:description/>
  <cp:lastModifiedBy>Catherine Payne</cp:lastModifiedBy>
  <cp:revision>1</cp:revision>
  <dcterms:created xsi:type="dcterms:W3CDTF">2015-08-07T15:18:00Z</dcterms:created>
  <dcterms:modified xsi:type="dcterms:W3CDTF">2015-08-07T15:19:00Z</dcterms:modified>
</cp:coreProperties>
</file>