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29" w:rsidRPr="00E06C8F" w:rsidRDefault="001E6170" w:rsidP="001E61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  <w:color w:val="5D5D5F"/>
        </w:rPr>
        <w:t>The background and purpose of the study</w:t>
      </w:r>
      <w:r w:rsidR="00394026" w:rsidRPr="00E06C8F">
        <w:rPr>
          <w:rFonts w:asciiTheme="majorHAnsi" w:hAnsiTheme="majorHAnsi" w:cstheme="majorHAnsi"/>
          <w:color w:val="5D5D5F"/>
        </w:rPr>
        <w:t>:</w:t>
      </w:r>
    </w:p>
    <w:p w:rsidR="00354243" w:rsidRPr="00E06C8F" w:rsidRDefault="00354243" w:rsidP="00354243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proofErr w:type="spellStart"/>
      <w:r w:rsidRPr="00E06C8F">
        <w:rPr>
          <w:rFonts w:asciiTheme="majorHAnsi" w:hAnsiTheme="majorHAnsi" w:cstheme="majorHAnsi"/>
        </w:rPr>
        <w:t>SonoVue</w:t>
      </w:r>
      <w:proofErr w:type="spellEnd"/>
      <w:r w:rsidRPr="00E06C8F">
        <w:rPr>
          <w:rFonts w:asciiTheme="majorHAnsi" w:hAnsiTheme="majorHAnsi" w:cstheme="majorHAnsi"/>
        </w:rPr>
        <w:t xml:space="preserve"> is an ultrasound contrast agent consisting of </w:t>
      </w:r>
      <w:proofErr w:type="spellStart"/>
      <w:r w:rsidRPr="00E06C8F">
        <w:rPr>
          <w:rFonts w:asciiTheme="majorHAnsi" w:hAnsiTheme="majorHAnsi" w:cstheme="majorHAnsi"/>
          <w:i/>
          <w:iCs/>
        </w:rPr>
        <w:t>sulphur</w:t>
      </w:r>
      <w:proofErr w:type="spellEnd"/>
      <w:r w:rsidRPr="00E06C8F">
        <w:rPr>
          <w:rFonts w:asciiTheme="majorHAnsi" w:hAnsiTheme="majorHAnsi" w:cstheme="majorHAnsi"/>
          <w:i/>
          <w:iCs/>
        </w:rPr>
        <w:t xml:space="preserve"> hexafluoride </w:t>
      </w:r>
      <w:r w:rsidRPr="00E06C8F">
        <w:rPr>
          <w:rFonts w:asciiTheme="majorHAnsi" w:hAnsiTheme="majorHAnsi" w:cstheme="majorHAnsi"/>
        </w:rPr>
        <w:t xml:space="preserve">microbubbles that improves display of the blood vessels, thus allowing more specific </w:t>
      </w:r>
      <w:proofErr w:type="spellStart"/>
      <w:r w:rsidRPr="00E06C8F">
        <w:rPr>
          <w:rFonts w:asciiTheme="majorHAnsi" w:hAnsiTheme="majorHAnsi" w:cstheme="majorHAnsi"/>
        </w:rPr>
        <w:t>characterisation</w:t>
      </w:r>
      <w:proofErr w:type="spellEnd"/>
      <w:r w:rsidRPr="00E06C8F">
        <w:rPr>
          <w:rFonts w:asciiTheme="majorHAnsi" w:hAnsiTheme="majorHAnsi" w:cstheme="majorHAnsi"/>
        </w:rPr>
        <w:t xml:space="preserve"> of liver lesions. NICE guidelines recommend the use of </w:t>
      </w:r>
      <w:proofErr w:type="spellStart"/>
      <w:r w:rsidRPr="00E06C8F">
        <w:rPr>
          <w:rFonts w:asciiTheme="majorHAnsi" w:hAnsiTheme="majorHAnsi" w:cstheme="majorHAnsi"/>
        </w:rPr>
        <w:t>SonoVue</w:t>
      </w:r>
      <w:proofErr w:type="spellEnd"/>
      <w:r w:rsidRPr="00E06C8F">
        <w:rPr>
          <w:rFonts w:asciiTheme="majorHAnsi" w:hAnsiTheme="majorHAnsi" w:cstheme="majorHAnsi"/>
        </w:rPr>
        <w:t xml:space="preserve"> to </w:t>
      </w:r>
      <w:proofErr w:type="spellStart"/>
      <w:r w:rsidRPr="00E06C8F">
        <w:rPr>
          <w:rFonts w:asciiTheme="majorHAnsi" w:hAnsiTheme="majorHAnsi" w:cstheme="majorHAnsi"/>
        </w:rPr>
        <w:t>characterise</w:t>
      </w:r>
      <w:proofErr w:type="spellEnd"/>
      <w:r w:rsidRPr="00E06C8F">
        <w:rPr>
          <w:rFonts w:asciiTheme="majorHAnsi" w:hAnsiTheme="majorHAnsi" w:cstheme="majorHAnsi"/>
        </w:rPr>
        <w:t xml:space="preserve"> focal liver lesions in an adult with cirrhosis, investigate potential liver metastases as well as </w:t>
      </w:r>
      <w:proofErr w:type="spellStart"/>
      <w:r w:rsidRPr="00E06C8F">
        <w:rPr>
          <w:rFonts w:asciiTheme="majorHAnsi" w:hAnsiTheme="majorHAnsi" w:cstheme="majorHAnsi"/>
        </w:rPr>
        <w:t>characteri</w:t>
      </w:r>
      <w:bookmarkStart w:id="0" w:name="_GoBack"/>
      <w:bookmarkEnd w:id="0"/>
      <w:r w:rsidRPr="00E06C8F">
        <w:rPr>
          <w:rFonts w:asciiTheme="majorHAnsi" w:hAnsiTheme="majorHAnsi" w:cstheme="majorHAnsi"/>
        </w:rPr>
        <w:t>se</w:t>
      </w:r>
      <w:proofErr w:type="spellEnd"/>
      <w:r w:rsidRPr="00E06C8F">
        <w:rPr>
          <w:rFonts w:asciiTheme="majorHAnsi" w:hAnsiTheme="majorHAnsi" w:cstheme="majorHAnsi"/>
        </w:rPr>
        <w:t xml:space="preserve"> incidentally detected</w:t>
      </w:r>
      <w:r w:rsidR="00E31250" w:rsidRPr="00E06C8F">
        <w:rPr>
          <w:rFonts w:asciiTheme="majorHAnsi" w:hAnsiTheme="majorHAnsi" w:cstheme="majorHAnsi"/>
        </w:rPr>
        <w:t xml:space="preserve"> </w:t>
      </w:r>
      <w:r w:rsidR="00E31250" w:rsidRPr="007A7B50">
        <w:rPr>
          <w:rFonts w:asciiTheme="majorHAnsi" w:hAnsiTheme="majorHAnsi" w:cstheme="majorHAnsi"/>
        </w:rPr>
        <w:t>indeterminate</w:t>
      </w:r>
      <w:r w:rsidRPr="00E06C8F">
        <w:rPr>
          <w:rFonts w:asciiTheme="majorHAnsi" w:hAnsiTheme="majorHAnsi" w:cstheme="majorHAnsi"/>
        </w:rPr>
        <w:t xml:space="preserve"> focal liver lesions on unenhanced ultrasound at the same appointment.</w:t>
      </w:r>
    </w:p>
    <w:p w:rsidR="00394026" w:rsidRPr="00E06C8F" w:rsidRDefault="00116F0F" w:rsidP="003940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</w:rPr>
        <w:t xml:space="preserve">The purpose of the audit is to review current practice and identify </w:t>
      </w:r>
      <w:r w:rsidR="00354243" w:rsidRPr="00E06C8F">
        <w:rPr>
          <w:rFonts w:asciiTheme="majorHAnsi" w:hAnsiTheme="majorHAnsi" w:cstheme="majorHAnsi"/>
        </w:rPr>
        <w:t xml:space="preserve">potential aspects of service improvement. </w:t>
      </w:r>
      <w:r w:rsidRPr="00E06C8F">
        <w:rPr>
          <w:rFonts w:asciiTheme="majorHAnsi" w:hAnsiTheme="majorHAnsi" w:cstheme="majorHAnsi"/>
        </w:rPr>
        <w:t xml:space="preserve"> </w:t>
      </w:r>
    </w:p>
    <w:p w:rsidR="00394026" w:rsidRPr="00E06C8F" w:rsidRDefault="00394026" w:rsidP="00394026">
      <w:pPr>
        <w:rPr>
          <w:rFonts w:asciiTheme="majorHAnsi" w:hAnsiTheme="majorHAnsi" w:cstheme="majorHAnsi"/>
        </w:rPr>
      </w:pPr>
    </w:p>
    <w:p w:rsidR="001E6170" w:rsidRPr="00E06C8F" w:rsidRDefault="001E6170" w:rsidP="001E61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  <w:color w:val="5D5D5F"/>
        </w:rPr>
        <w:t>The methods used</w:t>
      </w:r>
      <w:r w:rsidR="00394026" w:rsidRPr="00E06C8F">
        <w:rPr>
          <w:rFonts w:asciiTheme="majorHAnsi" w:hAnsiTheme="majorHAnsi" w:cstheme="majorHAnsi"/>
          <w:color w:val="5D5D5F"/>
        </w:rPr>
        <w:t>:</w:t>
      </w:r>
    </w:p>
    <w:p w:rsidR="00394026" w:rsidRPr="00E06C8F" w:rsidRDefault="00394026" w:rsidP="00354243">
      <w:pPr>
        <w:pStyle w:val="ListParagraph"/>
        <w:numPr>
          <w:ilvl w:val="1"/>
          <w:numId w:val="1"/>
        </w:numPr>
        <w:spacing w:after="200" w:line="276" w:lineRule="auto"/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</w:rPr>
        <w:t xml:space="preserve">Retrospective review of contrast-enhanced ultrasound scans (CEUS) performed </w:t>
      </w:r>
      <w:proofErr w:type="gramStart"/>
      <w:r w:rsidRPr="00E06C8F">
        <w:rPr>
          <w:rFonts w:asciiTheme="majorHAnsi" w:hAnsiTheme="majorHAnsi" w:cstheme="majorHAnsi"/>
        </w:rPr>
        <w:t xml:space="preserve">between </w:t>
      </w:r>
      <w:r w:rsidRPr="00BF100A">
        <w:rPr>
          <w:rFonts w:asciiTheme="majorHAnsi" w:hAnsiTheme="majorHAnsi" w:cstheme="majorHAnsi"/>
        </w:rPr>
        <w:t>November 2014 –April 2015,</w:t>
      </w:r>
      <w:proofErr w:type="gramEnd"/>
      <w:r w:rsidRPr="00BF100A">
        <w:rPr>
          <w:rFonts w:asciiTheme="majorHAnsi" w:hAnsiTheme="majorHAnsi" w:cstheme="majorHAnsi"/>
        </w:rPr>
        <w:t xml:space="preserve"> </w:t>
      </w:r>
      <w:r w:rsidRPr="00BF100A">
        <w:rPr>
          <w:rFonts w:asciiTheme="majorHAnsi" w:hAnsiTheme="majorHAnsi" w:cstheme="majorHAnsi"/>
          <w:shd w:val="clear" w:color="auto" w:fill="FFFFFF"/>
        </w:rPr>
        <w:t>collected from the PACS database in two screening</w:t>
      </w:r>
      <w:r w:rsidRPr="00E06C8F">
        <w:rPr>
          <w:rFonts w:asciiTheme="majorHAnsi" w:hAnsiTheme="majorHAnsi" w:cstheme="majorHAnsi"/>
          <w:shd w:val="clear" w:color="auto" w:fill="FFFFFF"/>
        </w:rPr>
        <w:t xml:space="preserve"> centres.</w:t>
      </w:r>
      <w:r w:rsidR="00B4211F">
        <w:rPr>
          <w:rFonts w:asciiTheme="majorHAnsi" w:hAnsiTheme="majorHAnsi" w:cstheme="majorHAnsi"/>
          <w:shd w:val="clear" w:color="auto" w:fill="FFFFFF"/>
        </w:rPr>
        <w:t xml:space="preserve"> Suitability for CEUS was determined using locally developed work flow guidelines.</w:t>
      </w:r>
      <w:r w:rsidR="00D924CC" w:rsidRPr="00E06C8F">
        <w:rPr>
          <w:rFonts w:asciiTheme="majorHAnsi" w:hAnsiTheme="majorHAnsi" w:cstheme="majorHAnsi"/>
          <w:shd w:val="clear" w:color="auto" w:fill="FFFFFF"/>
        </w:rPr>
        <w:t xml:space="preserve"> </w:t>
      </w:r>
      <w:r w:rsidR="00354243" w:rsidRPr="00E06C8F">
        <w:rPr>
          <w:rFonts w:asciiTheme="majorHAnsi" w:hAnsiTheme="majorHAnsi" w:cstheme="majorHAnsi"/>
          <w:shd w:val="clear" w:color="auto" w:fill="FFFFFF"/>
        </w:rPr>
        <w:t xml:space="preserve">Standards used were </w:t>
      </w:r>
      <w:r w:rsidR="00354243" w:rsidRPr="00E06C8F">
        <w:rPr>
          <w:rFonts w:asciiTheme="majorHAnsi" w:hAnsiTheme="majorHAnsi" w:cstheme="majorHAnsi"/>
        </w:rPr>
        <w:t>l</w:t>
      </w:r>
      <w:r w:rsidR="00D924CC" w:rsidRPr="00E06C8F">
        <w:rPr>
          <w:rFonts w:asciiTheme="majorHAnsi" w:hAnsiTheme="majorHAnsi" w:cstheme="majorHAnsi"/>
        </w:rPr>
        <w:t>ocal guidelines</w:t>
      </w:r>
      <w:r w:rsidR="002A7EB2">
        <w:rPr>
          <w:rFonts w:asciiTheme="majorHAnsi" w:hAnsiTheme="majorHAnsi" w:cstheme="majorHAnsi"/>
        </w:rPr>
        <w:t xml:space="preserve"> based on NICE suggestions</w:t>
      </w:r>
      <w:r w:rsidR="00D924CC" w:rsidRPr="00E06C8F">
        <w:rPr>
          <w:rFonts w:asciiTheme="majorHAnsi" w:hAnsiTheme="majorHAnsi" w:cstheme="majorHAnsi"/>
        </w:rPr>
        <w:t xml:space="preserve">: </w:t>
      </w:r>
      <w:r w:rsidR="00354243" w:rsidRPr="00E06C8F">
        <w:rPr>
          <w:rFonts w:asciiTheme="majorHAnsi" w:hAnsiTheme="majorHAnsi" w:cstheme="majorHAnsi"/>
        </w:rPr>
        <w:t>w</w:t>
      </w:r>
      <w:r w:rsidR="00D924CC" w:rsidRPr="00E06C8F">
        <w:rPr>
          <w:rFonts w:asciiTheme="majorHAnsi" w:hAnsiTheme="majorHAnsi" w:cstheme="majorHAnsi"/>
        </w:rPr>
        <w:t xml:space="preserve">hen an incidental liver lesion is detected, </w:t>
      </w:r>
      <w:r w:rsidR="002A7EB2">
        <w:rPr>
          <w:rFonts w:asciiTheme="majorHAnsi" w:hAnsiTheme="majorHAnsi" w:cstheme="majorHAnsi"/>
        </w:rPr>
        <w:t>a</w:t>
      </w:r>
      <w:r w:rsidR="00D924CC" w:rsidRPr="00E06C8F">
        <w:rPr>
          <w:rFonts w:asciiTheme="majorHAnsi" w:hAnsiTheme="majorHAnsi" w:cstheme="majorHAnsi"/>
        </w:rPr>
        <w:t xml:space="preserve"> CEUS</w:t>
      </w:r>
      <w:r w:rsidR="002A7EB2">
        <w:rPr>
          <w:rFonts w:asciiTheme="majorHAnsi" w:hAnsiTheme="majorHAnsi" w:cstheme="majorHAnsi"/>
        </w:rPr>
        <w:t xml:space="preserve"> is performed as a </w:t>
      </w:r>
      <w:r w:rsidR="002A7EB2" w:rsidRPr="00E06C8F">
        <w:rPr>
          <w:rFonts w:asciiTheme="majorHAnsi" w:hAnsiTheme="majorHAnsi" w:cstheme="majorHAnsi"/>
        </w:rPr>
        <w:t>“same-day appointment”</w:t>
      </w:r>
      <w:r w:rsidR="002A7EB2">
        <w:rPr>
          <w:rFonts w:asciiTheme="majorHAnsi" w:hAnsiTheme="majorHAnsi" w:cstheme="majorHAnsi"/>
        </w:rPr>
        <w:t xml:space="preserve"> or within 7 days if this</w:t>
      </w:r>
      <w:r w:rsidR="00D924CC" w:rsidRPr="00E06C8F">
        <w:rPr>
          <w:rFonts w:asciiTheme="majorHAnsi" w:hAnsiTheme="majorHAnsi" w:cstheme="majorHAnsi"/>
        </w:rPr>
        <w:t xml:space="preserve"> is unavailable. </w:t>
      </w:r>
    </w:p>
    <w:p w:rsidR="001E6170" w:rsidRPr="00E06C8F" w:rsidRDefault="001E6170" w:rsidP="001E61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  <w:color w:val="5D5D5F"/>
        </w:rPr>
        <w:t>The results obtained</w:t>
      </w:r>
      <w:r w:rsidR="0076073D" w:rsidRPr="00E06C8F">
        <w:rPr>
          <w:rFonts w:asciiTheme="majorHAnsi" w:hAnsiTheme="majorHAnsi" w:cstheme="majorHAnsi"/>
          <w:color w:val="5D5D5F"/>
        </w:rPr>
        <w:t xml:space="preserve">: </w:t>
      </w:r>
    </w:p>
    <w:p w:rsidR="00E06C8F" w:rsidRPr="00E06C8F" w:rsidRDefault="00AF3045" w:rsidP="00354243">
      <w:pPr>
        <w:pStyle w:val="ListParagraph"/>
        <w:numPr>
          <w:ilvl w:val="1"/>
          <w:numId w:val="1"/>
        </w:numPr>
        <w:tabs>
          <w:tab w:val="num" w:pos="720"/>
        </w:tabs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</w:rPr>
        <w:t>43</w:t>
      </w:r>
      <w:r w:rsidR="00354243" w:rsidRPr="00E06C8F">
        <w:rPr>
          <w:rFonts w:asciiTheme="majorHAnsi" w:hAnsiTheme="majorHAnsi" w:cstheme="majorHAnsi"/>
        </w:rPr>
        <w:t xml:space="preserve"> CEUS were identified. </w:t>
      </w:r>
      <w:r w:rsidR="00354243" w:rsidRPr="00E06C8F">
        <w:rPr>
          <w:rFonts w:asciiTheme="majorHAnsi" w:hAnsiTheme="majorHAnsi" w:cstheme="majorHAnsi"/>
          <w:shd w:val="clear" w:color="auto" w:fill="FFFFFF"/>
        </w:rPr>
        <w:t>Av</w:t>
      </w:r>
      <w:r w:rsidRPr="00E06C8F">
        <w:rPr>
          <w:rFonts w:asciiTheme="majorHAnsi" w:hAnsiTheme="majorHAnsi" w:cstheme="majorHAnsi"/>
          <w:shd w:val="clear" w:color="auto" w:fill="FFFFFF"/>
        </w:rPr>
        <w:t>erage age was 52 years (range 22-83</w:t>
      </w:r>
      <w:r w:rsidR="00354243" w:rsidRPr="00E06C8F">
        <w:rPr>
          <w:rFonts w:asciiTheme="majorHAnsi" w:hAnsiTheme="majorHAnsi" w:cstheme="majorHAnsi"/>
          <w:shd w:val="clear" w:color="auto" w:fill="FFFFFF"/>
        </w:rPr>
        <w:t xml:space="preserve">). </w:t>
      </w:r>
    </w:p>
    <w:p w:rsidR="00A73D2C" w:rsidRPr="00E06C8F" w:rsidRDefault="00AF3045" w:rsidP="00354243">
      <w:pPr>
        <w:pStyle w:val="ListParagraph"/>
        <w:numPr>
          <w:ilvl w:val="1"/>
          <w:numId w:val="1"/>
        </w:numPr>
        <w:tabs>
          <w:tab w:val="num" w:pos="720"/>
        </w:tabs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</w:rPr>
        <w:t>There was an overall 77% compliance rate with the</w:t>
      </w:r>
      <w:r w:rsidR="002A7EB2">
        <w:rPr>
          <w:rFonts w:asciiTheme="majorHAnsi" w:hAnsiTheme="majorHAnsi" w:cstheme="majorHAnsi"/>
        </w:rPr>
        <w:t xml:space="preserve"> 7 day</w:t>
      </w:r>
      <w:r w:rsidRPr="00E06C8F">
        <w:rPr>
          <w:rFonts w:asciiTheme="majorHAnsi" w:hAnsiTheme="majorHAnsi" w:cstheme="majorHAnsi"/>
        </w:rPr>
        <w:t xml:space="preserve"> local guidelines. </w:t>
      </w:r>
      <w:r w:rsidRPr="00E06C8F">
        <w:rPr>
          <w:rFonts w:asciiTheme="majorHAnsi" w:hAnsiTheme="majorHAnsi" w:cstheme="majorHAnsi"/>
          <w:i/>
          <w:iCs/>
          <w:lang w:val="en-GB"/>
        </w:rPr>
        <w:t>Delay in CEUS (range 2-9 weeks)</w:t>
      </w:r>
      <w:r w:rsidRPr="00E06C8F">
        <w:rPr>
          <w:rFonts w:asciiTheme="majorHAnsi" w:hAnsiTheme="majorHAnsi" w:cstheme="majorHAnsi"/>
          <w:lang w:val="en-GB"/>
        </w:rPr>
        <w:t xml:space="preserve">. </w:t>
      </w:r>
    </w:p>
    <w:p w:rsidR="00354243" w:rsidRPr="00E06C8F" w:rsidRDefault="00354243" w:rsidP="00354243">
      <w:pPr>
        <w:pStyle w:val="ListParagraph"/>
        <w:numPr>
          <w:ilvl w:val="1"/>
          <w:numId w:val="1"/>
        </w:numPr>
        <w:tabs>
          <w:tab w:val="num" w:pos="720"/>
        </w:tabs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</w:rPr>
        <w:t xml:space="preserve">The spectrum of </w:t>
      </w:r>
      <w:r w:rsidR="00AF3045" w:rsidRPr="00E06C8F">
        <w:rPr>
          <w:rFonts w:asciiTheme="majorHAnsi" w:hAnsiTheme="majorHAnsi" w:cstheme="majorHAnsi"/>
        </w:rPr>
        <w:t xml:space="preserve">diagnoses included </w:t>
      </w:r>
      <w:proofErr w:type="spellStart"/>
      <w:r w:rsidR="00AF3045" w:rsidRPr="00E06C8F">
        <w:rPr>
          <w:rFonts w:asciiTheme="majorHAnsi" w:hAnsiTheme="majorHAnsi" w:cstheme="majorHAnsi"/>
        </w:rPr>
        <w:t>haemangioma</w:t>
      </w:r>
      <w:proofErr w:type="spellEnd"/>
      <w:r w:rsidR="00AF3045" w:rsidRPr="00E06C8F">
        <w:rPr>
          <w:rFonts w:asciiTheme="majorHAnsi" w:hAnsiTheme="majorHAnsi" w:cstheme="majorHAnsi"/>
        </w:rPr>
        <w:t>, liver metastasis, hepatocellular carcinoma</w:t>
      </w:r>
      <w:r w:rsidRPr="00E06C8F">
        <w:rPr>
          <w:rFonts w:asciiTheme="majorHAnsi" w:hAnsiTheme="majorHAnsi" w:cstheme="majorHAnsi"/>
        </w:rPr>
        <w:t xml:space="preserve">, </w:t>
      </w:r>
      <w:r w:rsidR="00AF3045" w:rsidRPr="00E06C8F">
        <w:rPr>
          <w:rFonts w:asciiTheme="majorHAnsi" w:hAnsiTheme="majorHAnsi" w:cstheme="majorHAnsi"/>
        </w:rPr>
        <w:t xml:space="preserve">FNH and other benign conditions. </w:t>
      </w:r>
    </w:p>
    <w:p w:rsidR="0076073D" w:rsidRPr="00E06C8F" w:rsidRDefault="0076073D" w:rsidP="00354243">
      <w:pPr>
        <w:pStyle w:val="ListParagraph"/>
        <w:ind w:left="1440"/>
        <w:rPr>
          <w:rFonts w:asciiTheme="majorHAnsi" w:hAnsiTheme="majorHAnsi" w:cstheme="majorHAnsi"/>
        </w:rPr>
      </w:pPr>
    </w:p>
    <w:p w:rsidR="001E6170" w:rsidRPr="00E06C8F" w:rsidRDefault="001E6170" w:rsidP="001E61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  <w:color w:val="5D5D5F"/>
        </w:rPr>
        <w:t>The conclusions drawn from the work</w:t>
      </w:r>
      <w:r w:rsidR="00A73D2C" w:rsidRPr="00E06C8F">
        <w:rPr>
          <w:rFonts w:asciiTheme="majorHAnsi" w:hAnsiTheme="majorHAnsi" w:cstheme="majorHAnsi"/>
          <w:color w:val="5D5D5F"/>
        </w:rPr>
        <w:t xml:space="preserve">: </w:t>
      </w:r>
    </w:p>
    <w:p w:rsidR="00883643" w:rsidRPr="00E06C8F" w:rsidRDefault="00883643" w:rsidP="00AF3045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  <w:color w:val="5D5D5F"/>
        </w:rPr>
        <w:t>The department performance of CEUS to further characterize liver lesions</w:t>
      </w:r>
      <w:r w:rsidR="00E06C8F" w:rsidRPr="00E06C8F">
        <w:rPr>
          <w:rFonts w:asciiTheme="majorHAnsi" w:hAnsiTheme="majorHAnsi" w:cstheme="majorHAnsi"/>
          <w:color w:val="5D5D5F"/>
        </w:rPr>
        <w:t xml:space="preserve"> </w:t>
      </w:r>
      <w:r w:rsidR="00E06C8F" w:rsidRPr="007A7B50">
        <w:rPr>
          <w:rFonts w:asciiTheme="majorHAnsi" w:hAnsiTheme="majorHAnsi" w:cstheme="majorHAnsi"/>
          <w:color w:val="5D5D5F"/>
        </w:rPr>
        <w:t>and conform to</w:t>
      </w:r>
      <w:r w:rsidR="002A7EB2" w:rsidRPr="007A7B50">
        <w:rPr>
          <w:rFonts w:asciiTheme="majorHAnsi" w:hAnsiTheme="majorHAnsi" w:cstheme="majorHAnsi"/>
          <w:color w:val="5D5D5F"/>
        </w:rPr>
        <w:t xml:space="preserve"> local and</w:t>
      </w:r>
      <w:r w:rsidR="00E06C8F" w:rsidRPr="007A7B50">
        <w:rPr>
          <w:rFonts w:asciiTheme="majorHAnsi" w:hAnsiTheme="majorHAnsi" w:cstheme="majorHAnsi"/>
          <w:color w:val="5D5D5F"/>
        </w:rPr>
        <w:t xml:space="preserve"> NICE guidelines</w:t>
      </w:r>
      <w:r w:rsidRPr="00E06C8F">
        <w:rPr>
          <w:rFonts w:asciiTheme="majorHAnsi" w:hAnsiTheme="majorHAnsi" w:cstheme="majorHAnsi"/>
          <w:color w:val="5D5D5F"/>
        </w:rPr>
        <w:t xml:space="preserve"> is to a good level although there is room for further </w:t>
      </w:r>
      <w:r w:rsidR="00E06C8F" w:rsidRPr="00E06C8F">
        <w:rPr>
          <w:rFonts w:asciiTheme="majorHAnsi" w:hAnsiTheme="majorHAnsi" w:cstheme="majorHAnsi"/>
          <w:color w:val="5D5D5F"/>
        </w:rPr>
        <w:t>improvement</w:t>
      </w:r>
      <w:r w:rsidRPr="00E06C8F">
        <w:rPr>
          <w:rFonts w:asciiTheme="majorHAnsi" w:hAnsiTheme="majorHAnsi" w:cstheme="majorHAnsi"/>
          <w:color w:val="5D5D5F"/>
        </w:rPr>
        <w:t xml:space="preserve"> in care delivery. </w:t>
      </w:r>
    </w:p>
    <w:p w:rsidR="00883643" w:rsidRPr="00E06C8F" w:rsidRDefault="00883643" w:rsidP="00AF3045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  <w:color w:val="5D5D5F"/>
        </w:rPr>
        <w:t>Good staff satisfaction has been perceived regarding the</w:t>
      </w:r>
      <w:r w:rsidR="00A73D2C" w:rsidRPr="00E06C8F">
        <w:rPr>
          <w:rFonts w:asciiTheme="majorHAnsi" w:hAnsiTheme="majorHAnsi" w:cstheme="majorHAnsi"/>
          <w:color w:val="5D5D5F"/>
        </w:rPr>
        <w:t xml:space="preserve"> current</w:t>
      </w:r>
      <w:r w:rsidRPr="00E06C8F">
        <w:rPr>
          <w:rFonts w:asciiTheme="majorHAnsi" w:hAnsiTheme="majorHAnsi" w:cstheme="majorHAnsi"/>
          <w:color w:val="5D5D5F"/>
        </w:rPr>
        <w:t xml:space="preserve"> </w:t>
      </w:r>
      <w:r w:rsidR="00A73D2C" w:rsidRPr="00E06C8F">
        <w:rPr>
          <w:rFonts w:asciiTheme="majorHAnsi" w:hAnsiTheme="majorHAnsi" w:cstheme="majorHAnsi"/>
          <w:color w:val="5D5D5F"/>
          <w:lang w:val="en-GB"/>
        </w:rPr>
        <w:t>“Focal liver lesion ultrasound pathway” flowchart.</w:t>
      </w:r>
      <w:r w:rsidRPr="00E06C8F">
        <w:rPr>
          <w:rFonts w:asciiTheme="majorHAnsi" w:hAnsiTheme="majorHAnsi" w:cstheme="majorHAnsi"/>
          <w:color w:val="5D5D5F"/>
        </w:rPr>
        <w:t xml:space="preserve"> </w:t>
      </w:r>
    </w:p>
    <w:p w:rsidR="00AF3045" w:rsidRPr="00BF100A" w:rsidRDefault="00883643" w:rsidP="00AF3045">
      <w:pPr>
        <w:pStyle w:val="ListParagraph"/>
        <w:numPr>
          <w:ilvl w:val="1"/>
          <w:numId w:val="1"/>
        </w:numPr>
        <w:rPr>
          <w:rFonts w:asciiTheme="majorHAnsi" w:hAnsiTheme="majorHAnsi" w:cstheme="majorHAnsi"/>
        </w:rPr>
      </w:pPr>
      <w:r w:rsidRPr="00E06C8F">
        <w:rPr>
          <w:rFonts w:asciiTheme="majorHAnsi" w:hAnsiTheme="majorHAnsi" w:cstheme="majorHAnsi"/>
          <w:color w:val="5D5D5F"/>
        </w:rPr>
        <w:t>CEUS has proved to be a very efficient and robust way of quickly characterizing liver lesions by conf</w:t>
      </w:r>
      <w:r w:rsidR="002A7EB2">
        <w:rPr>
          <w:rFonts w:asciiTheme="majorHAnsi" w:hAnsiTheme="majorHAnsi" w:cstheme="majorHAnsi"/>
          <w:color w:val="5D5D5F"/>
        </w:rPr>
        <w:t>irming or ruling out benignity expediting patient care.</w:t>
      </w:r>
      <w:r w:rsidRPr="00E06C8F">
        <w:rPr>
          <w:rFonts w:asciiTheme="majorHAnsi" w:hAnsiTheme="majorHAnsi" w:cstheme="majorHAnsi"/>
          <w:color w:val="5D5D5F"/>
        </w:rPr>
        <w:t xml:space="preserve"> </w:t>
      </w:r>
    </w:p>
    <w:p w:rsidR="00BF100A" w:rsidRDefault="00BF100A" w:rsidP="00BF100A">
      <w:pPr>
        <w:rPr>
          <w:rFonts w:asciiTheme="majorHAnsi" w:hAnsiTheme="majorHAnsi" w:cstheme="majorHAnsi"/>
        </w:rPr>
      </w:pPr>
    </w:p>
    <w:p w:rsidR="00BF100A" w:rsidRPr="00BF100A" w:rsidRDefault="00BF100A" w:rsidP="00BF100A">
      <w:pPr>
        <w:rPr>
          <w:rFonts w:asciiTheme="majorHAnsi" w:hAnsiTheme="majorHAnsi" w:cstheme="majorHAnsi"/>
        </w:rPr>
      </w:pPr>
    </w:p>
    <w:sectPr w:rsidR="00BF100A" w:rsidRPr="00BF100A" w:rsidSect="002058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252"/>
    <w:multiLevelType w:val="hybridMultilevel"/>
    <w:tmpl w:val="CBCABFE0"/>
    <w:lvl w:ilvl="0" w:tplc="6AF47A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8E8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882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649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4C4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CA6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08C6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6FE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049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2B48EC"/>
    <w:multiLevelType w:val="hybridMultilevel"/>
    <w:tmpl w:val="EF28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70"/>
    <w:rsid w:val="00116F0F"/>
    <w:rsid w:val="0014773B"/>
    <w:rsid w:val="001E6170"/>
    <w:rsid w:val="00205829"/>
    <w:rsid w:val="002A7EB2"/>
    <w:rsid w:val="00354243"/>
    <w:rsid w:val="00394026"/>
    <w:rsid w:val="0076073D"/>
    <w:rsid w:val="007A7B50"/>
    <w:rsid w:val="007D5669"/>
    <w:rsid w:val="00883643"/>
    <w:rsid w:val="00A73D2C"/>
    <w:rsid w:val="00AF3045"/>
    <w:rsid w:val="00B4211F"/>
    <w:rsid w:val="00BF100A"/>
    <w:rsid w:val="00D924CC"/>
    <w:rsid w:val="00E06C8F"/>
    <w:rsid w:val="00E3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Alhamza Al-Khatib</dc:creator>
  <cp:lastModifiedBy>Alhamza Al-Khatib</cp:lastModifiedBy>
  <cp:revision>2</cp:revision>
  <dcterms:created xsi:type="dcterms:W3CDTF">2015-08-06T16:23:00Z</dcterms:created>
  <dcterms:modified xsi:type="dcterms:W3CDTF">2015-08-06T16:23:00Z</dcterms:modified>
</cp:coreProperties>
</file>